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06" w:rsidRDefault="00DA7D06" w:rsidP="00CF2E6D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C56CE3" wp14:editId="4EEF1AFA">
            <wp:simplePos x="1857375" y="628650"/>
            <wp:positionH relativeFrom="margin">
              <wp:align>left</wp:align>
            </wp:positionH>
            <wp:positionV relativeFrom="margin">
              <wp:align>top</wp:align>
            </wp:positionV>
            <wp:extent cx="2548255" cy="1428750"/>
            <wp:effectExtent l="0" t="0" r="4445" b="0"/>
            <wp:wrapSquare wrapText="bothSides"/>
            <wp:docPr id="1" name="Рисунок 1" descr="C:\Users\User\AppData\Local\Temp\shesterenki (2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shesterenki (2)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1" t="2880" r="59535" b="58513"/>
                    <a:stretch/>
                  </pic:blipFill>
                  <pic:spPr bwMode="auto">
                    <a:xfrm>
                      <a:off x="0" y="0"/>
                      <a:ext cx="2550922" cy="143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D06" w:rsidRDefault="00DA7D06" w:rsidP="00CF2E6D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930D8" w:rsidRDefault="009930D8" w:rsidP="00CF2E6D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D3A6B" w:rsidRDefault="003D3A6B" w:rsidP="00CF2E6D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D3A6B" w:rsidRDefault="003D3A6B" w:rsidP="00CF2E6D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D3A6B" w:rsidRDefault="003D3A6B" w:rsidP="00CF2E6D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D3A6B" w:rsidRDefault="003D3A6B" w:rsidP="00CF2E6D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223CA" w:rsidRDefault="001223CA" w:rsidP="00CF2E6D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D3A6B" w:rsidRDefault="003D3A6B" w:rsidP="002F56F2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236A5" w:rsidRPr="00F4774A" w:rsidRDefault="00A236A5" w:rsidP="00CF2E6D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4774A">
        <w:rPr>
          <w:rFonts w:ascii="Times New Roman" w:hAnsi="Times New Roman"/>
          <w:b/>
          <w:sz w:val="28"/>
          <w:szCs w:val="28"/>
        </w:rPr>
        <w:t>ПОВЕСТКА</w:t>
      </w:r>
    </w:p>
    <w:p w:rsidR="00C4477F" w:rsidRPr="00F4774A" w:rsidRDefault="00A236A5" w:rsidP="00CF2E6D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F4774A">
        <w:rPr>
          <w:rFonts w:ascii="Times New Roman" w:hAnsi="Times New Roman"/>
          <w:b/>
          <w:sz w:val="28"/>
          <w:szCs w:val="28"/>
        </w:rPr>
        <w:t>заседания Консультативного совета директоров при Министерстве общего и профессионального образования Свердловской области</w:t>
      </w:r>
    </w:p>
    <w:p w:rsidR="0028175C" w:rsidRPr="00F4774A" w:rsidRDefault="0028175C" w:rsidP="00CF2E6D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18"/>
      </w:tblGrid>
      <w:tr w:rsidR="005D49B1" w:rsidRPr="00F4774A" w:rsidTr="009F2A90">
        <w:tc>
          <w:tcPr>
            <w:tcW w:w="4361" w:type="dxa"/>
          </w:tcPr>
          <w:p w:rsidR="005D49B1" w:rsidRPr="00F4774A" w:rsidRDefault="00A236A5" w:rsidP="00CF2E6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774A">
              <w:rPr>
                <w:rFonts w:ascii="Times New Roman" w:hAnsi="Times New Roman"/>
                <w:b/>
                <w:i/>
                <w:sz w:val="28"/>
                <w:szCs w:val="28"/>
              </w:rPr>
              <w:t>23 января 2018</w:t>
            </w:r>
            <w:r w:rsidR="005D49B1" w:rsidRPr="00F477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5918" w:type="dxa"/>
          </w:tcPr>
          <w:p w:rsidR="005D49B1" w:rsidRPr="00F4774A" w:rsidRDefault="005D49B1" w:rsidP="00CF2E6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774A">
              <w:rPr>
                <w:rFonts w:ascii="Times New Roman" w:hAnsi="Times New Roman"/>
                <w:b/>
                <w:i/>
                <w:sz w:val="28"/>
                <w:szCs w:val="28"/>
              </w:rPr>
              <w:t>г. Екатеринбург</w:t>
            </w:r>
          </w:p>
        </w:tc>
      </w:tr>
      <w:tr w:rsidR="005D49B1" w:rsidRPr="00F4774A" w:rsidTr="009F2A90">
        <w:tc>
          <w:tcPr>
            <w:tcW w:w="4361" w:type="dxa"/>
          </w:tcPr>
          <w:p w:rsidR="005D49B1" w:rsidRPr="00F4774A" w:rsidRDefault="00A236A5" w:rsidP="00CF2E6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774A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  <w:r w:rsidR="005D49B1" w:rsidRPr="00F4774A">
              <w:rPr>
                <w:rFonts w:ascii="Times New Roman" w:hAnsi="Times New Roman"/>
                <w:b/>
                <w:i/>
                <w:sz w:val="28"/>
                <w:szCs w:val="28"/>
              </w:rPr>
              <w:t>.00 часов</w:t>
            </w:r>
          </w:p>
        </w:tc>
        <w:tc>
          <w:tcPr>
            <w:tcW w:w="5918" w:type="dxa"/>
          </w:tcPr>
          <w:p w:rsidR="005D49B1" w:rsidRPr="00F4774A" w:rsidRDefault="00A236A5" w:rsidP="00CF2E6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774A">
              <w:rPr>
                <w:rFonts w:ascii="Times New Roman" w:hAnsi="Times New Roman"/>
                <w:b/>
                <w:i/>
                <w:sz w:val="28"/>
                <w:szCs w:val="28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5D49B1" w:rsidRPr="00F4774A" w:rsidTr="009F2A90">
        <w:tc>
          <w:tcPr>
            <w:tcW w:w="4361" w:type="dxa"/>
          </w:tcPr>
          <w:p w:rsidR="005D49B1" w:rsidRPr="00F4774A" w:rsidRDefault="005D49B1" w:rsidP="00CF2E6D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18" w:type="dxa"/>
          </w:tcPr>
          <w:p w:rsidR="005D49B1" w:rsidRPr="00F4774A" w:rsidRDefault="009F2A90" w:rsidP="00CF2E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774A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A236A5" w:rsidRPr="00F4774A">
              <w:rPr>
                <w:rFonts w:ascii="Times New Roman" w:hAnsi="Times New Roman"/>
                <w:b/>
                <w:i/>
                <w:sz w:val="28"/>
                <w:szCs w:val="28"/>
              </w:rPr>
              <w:t>ктовый зал</w:t>
            </w:r>
          </w:p>
        </w:tc>
      </w:tr>
    </w:tbl>
    <w:p w:rsidR="00C4477F" w:rsidRPr="00F4774A" w:rsidRDefault="00C4477F" w:rsidP="009F2A90">
      <w:pPr>
        <w:spacing w:after="0" w:line="18" w:lineRule="atLeast"/>
        <w:jc w:val="right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3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647"/>
      </w:tblGrid>
      <w:tr w:rsidR="00C4477F" w:rsidRPr="00F4774A" w:rsidTr="009F2A90">
        <w:trPr>
          <w:trHeight w:val="915"/>
        </w:trPr>
        <w:tc>
          <w:tcPr>
            <w:tcW w:w="1667" w:type="dxa"/>
          </w:tcPr>
          <w:p w:rsidR="00C4477F" w:rsidRPr="00F4774A" w:rsidRDefault="00423651" w:rsidP="009F2A90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4774A">
              <w:rPr>
                <w:rFonts w:ascii="Times New Roman" w:hAnsi="Times New Roman"/>
                <w:b/>
                <w:sz w:val="28"/>
                <w:szCs w:val="28"/>
              </w:rPr>
              <w:t>14.00-14</w:t>
            </w:r>
            <w:r w:rsidR="00C4477F" w:rsidRPr="00F4774A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  <w:p w:rsidR="00C4477F" w:rsidRPr="00F4774A" w:rsidRDefault="00C4477F" w:rsidP="009F2A90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</w:tcPr>
          <w:p w:rsidR="00C4477F" w:rsidRPr="00F4774A" w:rsidRDefault="00A236A5" w:rsidP="009F2A90">
            <w:pPr>
              <w:spacing w:after="0" w:line="18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774A">
              <w:rPr>
                <w:rFonts w:ascii="Times New Roman" w:hAnsi="Times New Roman"/>
                <w:b/>
                <w:i/>
                <w:sz w:val="28"/>
                <w:szCs w:val="28"/>
              </w:rPr>
              <w:t>Открытие заседания</w:t>
            </w:r>
          </w:p>
          <w:p w:rsidR="00C4477F" w:rsidRPr="00F4774A" w:rsidRDefault="00C4477F" w:rsidP="009F2A90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774A" w:rsidRDefault="00C4477F" w:rsidP="009F2A90">
            <w:pPr>
              <w:pStyle w:val="a6"/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74A">
              <w:rPr>
                <w:rFonts w:ascii="Times New Roman" w:hAnsi="Times New Roman" w:cs="Times New Roman"/>
                <w:b/>
                <w:sz w:val="28"/>
                <w:szCs w:val="28"/>
              </w:rPr>
              <w:t>Исламгалиев</w:t>
            </w:r>
            <w:proofErr w:type="spellEnd"/>
            <w:r w:rsidRPr="00F47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Феликс </w:t>
            </w:r>
            <w:proofErr w:type="spellStart"/>
            <w:r w:rsidRPr="00F4774A">
              <w:rPr>
                <w:rFonts w:ascii="Times New Roman" w:hAnsi="Times New Roman" w:cs="Times New Roman"/>
                <w:b/>
                <w:sz w:val="28"/>
                <w:szCs w:val="28"/>
              </w:rPr>
              <w:t>Галиаскарович</w:t>
            </w:r>
            <w:proofErr w:type="spellEnd"/>
            <w:r w:rsidRPr="00F47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D80" w:rsidRPr="00F4774A" w:rsidRDefault="00A236A5" w:rsidP="009F2A90">
            <w:pPr>
              <w:pStyle w:val="a6"/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4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9F2A90" w:rsidRPr="00F4774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Консультативного совета </w:t>
            </w:r>
          </w:p>
        </w:tc>
      </w:tr>
      <w:tr w:rsidR="00C4477F" w:rsidRPr="00F4774A" w:rsidTr="009F2A90">
        <w:trPr>
          <w:trHeight w:val="1255"/>
        </w:trPr>
        <w:tc>
          <w:tcPr>
            <w:tcW w:w="1667" w:type="dxa"/>
          </w:tcPr>
          <w:p w:rsidR="00C4477F" w:rsidRPr="00F4774A" w:rsidRDefault="00423651" w:rsidP="009F2A90">
            <w:pPr>
              <w:spacing w:after="0" w:line="18" w:lineRule="atLeast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74A">
              <w:rPr>
                <w:rFonts w:ascii="Times New Roman" w:hAnsi="Times New Roman"/>
                <w:b/>
                <w:sz w:val="28"/>
                <w:szCs w:val="28"/>
              </w:rPr>
              <w:t>14.05-14</w:t>
            </w:r>
            <w:r w:rsidR="00C4477F" w:rsidRPr="00F4774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4774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C4477F" w:rsidRPr="00F4774A" w:rsidRDefault="00C4477F" w:rsidP="009F2A90">
            <w:pPr>
              <w:spacing w:after="0" w:line="18" w:lineRule="atLeast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477F" w:rsidRPr="00F4774A" w:rsidRDefault="00C4477F" w:rsidP="009F2A90">
            <w:pPr>
              <w:spacing w:after="0" w:line="18" w:lineRule="atLeast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477F" w:rsidRPr="00F4774A" w:rsidRDefault="00C4477F" w:rsidP="009F2A90">
            <w:pPr>
              <w:spacing w:after="0" w:line="18" w:lineRule="atLeast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5D49B1" w:rsidRPr="00F4774A" w:rsidRDefault="00A236A5" w:rsidP="009F2A90">
            <w:pPr>
              <w:spacing w:after="0" w:line="18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774A">
              <w:rPr>
                <w:rFonts w:ascii="Times New Roman" w:hAnsi="Times New Roman"/>
                <w:b/>
                <w:i/>
                <w:sz w:val="28"/>
                <w:szCs w:val="28"/>
              </w:rPr>
              <w:t>Приветственное слово</w:t>
            </w:r>
          </w:p>
          <w:p w:rsidR="005D49B1" w:rsidRPr="00F4774A" w:rsidRDefault="005D49B1" w:rsidP="009F2A90">
            <w:pPr>
              <w:spacing w:after="0" w:line="18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774A" w:rsidRDefault="00A236A5" w:rsidP="009F2A90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774A">
              <w:rPr>
                <w:rFonts w:ascii="Times New Roman" w:hAnsi="Times New Roman"/>
                <w:b/>
                <w:sz w:val="28"/>
                <w:szCs w:val="28"/>
              </w:rPr>
              <w:t>Зеленов</w:t>
            </w:r>
            <w:proofErr w:type="spellEnd"/>
            <w:r w:rsidRPr="00F4774A">
              <w:rPr>
                <w:rFonts w:ascii="Times New Roman" w:hAnsi="Times New Roman"/>
                <w:b/>
                <w:sz w:val="28"/>
                <w:szCs w:val="28"/>
              </w:rPr>
              <w:t xml:space="preserve"> Юрий Николаевич</w:t>
            </w:r>
            <w:r w:rsidR="005D49B1" w:rsidRPr="00F477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774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  <w:p w:rsidR="00C4477F" w:rsidRPr="00F4774A" w:rsidRDefault="00A236A5" w:rsidP="009F2A90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74A">
              <w:rPr>
                <w:rFonts w:ascii="Times New Roman" w:hAnsi="Times New Roman"/>
                <w:sz w:val="28"/>
                <w:szCs w:val="28"/>
              </w:rPr>
              <w:t>Заместитель Министра общего и профессионального образования Свердловской области</w:t>
            </w:r>
          </w:p>
        </w:tc>
      </w:tr>
      <w:tr w:rsidR="00C4477F" w:rsidRPr="00F4774A" w:rsidTr="00052CD3">
        <w:trPr>
          <w:trHeight w:val="438"/>
        </w:trPr>
        <w:tc>
          <w:tcPr>
            <w:tcW w:w="1667" w:type="dxa"/>
          </w:tcPr>
          <w:p w:rsidR="00C4477F" w:rsidRPr="00F4774A" w:rsidRDefault="00423651" w:rsidP="009F2A90">
            <w:pPr>
              <w:spacing w:after="0" w:line="18" w:lineRule="atLeast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74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C4477F" w:rsidRPr="00F4774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D49B1" w:rsidRPr="00F4774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9F2A90" w:rsidRPr="00F4774A">
              <w:rPr>
                <w:rFonts w:ascii="Times New Roman" w:hAnsi="Times New Roman"/>
                <w:b/>
                <w:sz w:val="28"/>
                <w:szCs w:val="28"/>
              </w:rPr>
              <w:t>-14.3</w:t>
            </w:r>
            <w:r w:rsidR="005D49B1" w:rsidRPr="00F477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A236A5" w:rsidRPr="00F4774A" w:rsidRDefault="00A236A5" w:rsidP="009F2A90">
            <w:pPr>
              <w:pStyle w:val="a6"/>
              <w:spacing w:line="18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77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Проект приказа «Об установлении государственным профессиональным образовательным учреждениям, подведомственным Министерству общего и профессионального образования Свердловской области контрольных цифр приема в 2018 году по образовательным программам СПО на </w:t>
            </w:r>
            <w:proofErr w:type="gramStart"/>
            <w:r w:rsidRPr="00F477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обучение по профессиям</w:t>
            </w:r>
            <w:proofErr w:type="gramEnd"/>
            <w:r w:rsidRPr="00F477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специальностям за счет бюджетных ассигнов</w:t>
            </w:r>
            <w:r w:rsidR="00257A72" w:rsidRPr="00F477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аний областного бюджета»</w:t>
            </w:r>
          </w:p>
          <w:p w:rsidR="00A236A5" w:rsidRPr="00F4774A" w:rsidRDefault="00A236A5" w:rsidP="009F2A90">
            <w:pPr>
              <w:pStyle w:val="a6"/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A5" w:rsidRPr="00F4774A" w:rsidRDefault="00A236A5" w:rsidP="009F2A90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74A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  <w:p w:rsidR="00510EAD" w:rsidRPr="00F4774A" w:rsidRDefault="00A236A5" w:rsidP="009F2A90">
            <w:pPr>
              <w:spacing w:after="0" w:line="18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74A">
              <w:rPr>
                <w:rFonts w:ascii="Times New Roman" w:hAnsi="Times New Roman"/>
                <w:b/>
                <w:sz w:val="28"/>
                <w:szCs w:val="28"/>
              </w:rPr>
              <w:t>Шавалиев</w:t>
            </w:r>
            <w:proofErr w:type="spellEnd"/>
            <w:r w:rsidRPr="00F4774A">
              <w:rPr>
                <w:rFonts w:ascii="Times New Roman" w:hAnsi="Times New Roman"/>
                <w:b/>
                <w:sz w:val="28"/>
                <w:szCs w:val="28"/>
              </w:rPr>
              <w:t xml:space="preserve"> Альберт </w:t>
            </w:r>
            <w:proofErr w:type="spellStart"/>
            <w:r w:rsidRPr="00F4774A">
              <w:rPr>
                <w:rFonts w:ascii="Times New Roman" w:hAnsi="Times New Roman"/>
                <w:b/>
                <w:sz w:val="28"/>
                <w:szCs w:val="28"/>
              </w:rPr>
              <w:t>Наилович</w:t>
            </w:r>
            <w:proofErr w:type="spellEnd"/>
            <w:r w:rsidRPr="00F4774A">
              <w:rPr>
                <w:rFonts w:ascii="Times New Roman" w:hAnsi="Times New Roman"/>
                <w:sz w:val="28"/>
                <w:szCs w:val="28"/>
              </w:rPr>
              <w:t xml:space="preserve"> - начальник отдела профессионального образования и государственного задания </w:t>
            </w:r>
            <w:r w:rsidR="009F2A90" w:rsidRPr="00F4774A">
              <w:rPr>
                <w:rFonts w:ascii="Times New Roman" w:hAnsi="Times New Roman"/>
                <w:sz w:val="28"/>
                <w:szCs w:val="28"/>
              </w:rPr>
              <w:t>Министерства общего и профессионального образования Свердловской области</w:t>
            </w:r>
          </w:p>
          <w:p w:rsidR="003D3A6B" w:rsidRPr="00F4774A" w:rsidRDefault="003D3A6B" w:rsidP="009F2A90">
            <w:pPr>
              <w:spacing w:after="0" w:line="18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651" w:rsidRPr="00F4774A" w:rsidTr="00052CD3">
        <w:trPr>
          <w:trHeight w:val="438"/>
        </w:trPr>
        <w:tc>
          <w:tcPr>
            <w:tcW w:w="1667" w:type="dxa"/>
          </w:tcPr>
          <w:p w:rsidR="00423651" w:rsidRPr="00F4774A" w:rsidRDefault="00423651" w:rsidP="009F2A90">
            <w:pPr>
              <w:spacing w:after="0" w:line="18" w:lineRule="atLeast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423651" w:rsidRPr="00F4774A" w:rsidRDefault="00423651" w:rsidP="009F2A90">
            <w:pPr>
              <w:pStyle w:val="a6"/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4A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C4477F" w:rsidRPr="00F4774A" w:rsidTr="005D49B1">
        <w:trPr>
          <w:trHeight w:val="1388"/>
        </w:trPr>
        <w:tc>
          <w:tcPr>
            <w:tcW w:w="1667" w:type="dxa"/>
          </w:tcPr>
          <w:p w:rsidR="00C4477F" w:rsidRPr="00F4774A" w:rsidRDefault="009F2A90" w:rsidP="009F2A90">
            <w:pPr>
              <w:spacing w:after="0" w:line="18" w:lineRule="atLeast"/>
              <w:ind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74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14.3</w:t>
            </w:r>
            <w:r w:rsidR="005D49B1" w:rsidRPr="00F477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F4774A">
              <w:rPr>
                <w:rFonts w:ascii="Times New Roman" w:hAnsi="Times New Roman"/>
                <w:b/>
                <w:sz w:val="28"/>
                <w:szCs w:val="28"/>
              </w:rPr>
              <w:t>-14</w:t>
            </w:r>
            <w:r w:rsidR="00C4477F" w:rsidRPr="00F4774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4774A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8647" w:type="dxa"/>
          </w:tcPr>
          <w:p w:rsidR="00CF2E6D" w:rsidRPr="00D37AFF" w:rsidRDefault="00257A72" w:rsidP="009F2A90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7A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 основных направлениях деятельности комиссий </w:t>
            </w:r>
            <w:r w:rsidR="00CF2E6D" w:rsidRPr="00D37A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Консультативного совета </w:t>
            </w:r>
            <w:r w:rsidRPr="00D37AFF">
              <w:rPr>
                <w:rFonts w:ascii="Times New Roman" w:hAnsi="Times New Roman"/>
                <w:b/>
                <w:i/>
                <w:sz w:val="28"/>
                <w:szCs w:val="28"/>
              </w:rPr>
              <w:t>и планах на январь-февраль 2018 года</w:t>
            </w:r>
          </w:p>
          <w:p w:rsidR="00CF2E6D" w:rsidRPr="00D37AFF" w:rsidRDefault="00CF2E6D" w:rsidP="009F2A90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4477F" w:rsidRPr="00D37AFF" w:rsidRDefault="00CF2E6D" w:rsidP="009F2A90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7AFF"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Докладчики:</w:t>
            </w:r>
          </w:p>
          <w:p w:rsidR="009F2A90" w:rsidRPr="00D37AFF" w:rsidRDefault="00CF2E6D" w:rsidP="009F2A90">
            <w:pPr>
              <w:pStyle w:val="a6"/>
              <w:spacing w:line="18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этике и работе с управленческими кадрами </w:t>
            </w:r>
          </w:p>
          <w:p w:rsidR="00F4774A" w:rsidRPr="00D37AFF" w:rsidRDefault="00423651" w:rsidP="009F2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AFF">
              <w:rPr>
                <w:rFonts w:ascii="Times New Roman" w:hAnsi="Times New Roman" w:cs="Times New Roman"/>
                <w:sz w:val="28"/>
                <w:szCs w:val="28"/>
              </w:rPr>
              <w:t>Марченкова Елена Ивановна</w:t>
            </w:r>
            <w:r w:rsidR="00F4774A" w:rsidRPr="00D37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2A90" w:rsidRPr="00D37AFF" w:rsidRDefault="009F2A90" w:rsidP="009F2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AFF">
              <w:rPr>
                <w:rFonts w:ascii="Times New Roman" w:hAnsi="Times New Roman" w:cs="Times New Roman"/>
                <w:sz w:val="28"/>
                <w:szCs w:val="28"/>
              </w:rPr>
              <w:t>директор Первоуральского политехникума</w:t>
            </w:r>
          </w:p>
          <w:p w:rsidR="00423651" w:rsidRPr="00D37AFF" w:rsidRDefault="00423651" w:rsidP="009F2A90">
            <w:pPr>
              <w:pStyle w:val="a6"/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E6D" w:rsidRPr="00D37AFF" w:rsidRDefault="00CF2E6D" w:rsidP="009F2A90">
            <w:pPr>
              <w:pStyle w:val="a6"/>
              <w:spacing w:line="18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AFF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развитию социального партнерства</w:t>
            </w:r>
          </w:p>
          <w:p w:rsidR="009F2A90" w:rsidRPr="00D37AFF" w:rsidRDefault="00423651" w:rsidP="009F2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AFF">
              <w:rPr>
                <w:rFonts w:ascii="Times New Roman" w:hAnsi="Times New Roman" w:cs="Times New Roman"/>
                <w:sz w:val="28"/>
                <w:szCs w:val="28"/>
              </w:rPr>
              <w:t>Токарева Наталья Николаевна</w:t>
            </w:r>
            <w:r w:rsidR="00F4774A" w:rsidRPr="00D37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30D8" w:rsidRPr="00D37AFF" w:rsidRDefault="00F4774A" w:rsidP="009930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AF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F2A90" w:rsidRPr="00D37AFF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Pr="00D37AFF">
              <w:rPr>
                <w:rFonts w:ascii="Times New Roman" w:hAnsi="Times New Roman" w:cs="Times New Roman"/>
                <w:sz w:val="28"/>
                <w:szCs w:val="28"/>
              </w:rPr>
              <w:t>Каменск – Уральского</w:t>
            </w:r>
            <w:r w:rsidR="009F2A90" w:rsidRPr="00D37AF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37AFF">
              <w:rPr>
                <w:rFonts w:ascii="Times New Roman" w:hAnsi="Times New Roman" w:cs="Times New Roman"/>
                <w:sz w:val="28"/>
                <w:szCs w:val="28"/>
              </w:rPr>
              <w:t>олитехнического колледжа</w:t>
            </w:r>
          </w:p>
          <w:p w:rsidR="00CF2E6D" w:rsidRPr="00D37AFF" w:rsidRDefault="00CF2E6D" w:rsidP="009F2A90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AFF">
              <w:rPr>
                <w:rFonts w:ascii="Times New Roman" w:hAnsi="Times New Roman"/>
                <w:b/>
                <w:sz w:val="28"/>
                <w:szCs w:val="28"/>
              </w:rPr>
              <w:t>Комиссия по мониторингу изменений в содержании образования</w:t>
            </w:r>
          </w:p>
          <w:p w:rsidR="00CF2E6D" w:rsidRPr="00D37AFF" w:rsidRDefault="00423651" w:rsidP="009F2A90">
            <w:pPr>
              <w:pStyle w:val="a6"/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AFF">
              <w:rPr>
                <w:rFonts w:ascii="Times New Roman" w:hAnsi="Times New Roman" w:cs="Times New Roman"/>
                <w:sz w:val="28"/>
                <w:szCs w:val="28"/>
              </w:rPr>
              <w:t>Козлов Андрей Николаевич</w:t>
            </w:r>
            <w:r w:rsidR="009F2A90" w:rsidRPr="00D3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74A" w:rsidRPr="00D37AF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9F2A90" w:rsidRPr="00D37AFF">
              <w:rPr>
                <w:rFonts w:ascii="Times New Roman" w:hAnsi="Times New Roman" w:cs="Times New Roman"/>
                <w:sz w:val="28"/>
                <w:szCs w:val="28"/>
              </w:rPr>
              <w:t>Екатеринбургский политехникум.</w:t>
            </w:r>
          </w:p>
          <w:p w:rsidR="00423651" w:rsidRPr="00D37AFF" w:rsidRDefault="00423651" w:rsidP="009F2A90">
            <w:pPr>
              <w:pStyle w:val="a6"/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E6D" w:rsidRPr="00D37AFF" w:rsidRDefault="00CF2E6D" w:rsidP="009F2A90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AFF">
              <w:rPr>
                <w:rFonts w:ascii="Times New Roman" w:hAnsi="Times New Roman"/>
                <w:b/>
                <w:sz w:val="28"/>
                <w:szCs w:val="28"/>
              </w:rPr>
              <w:t>Комиссия по распространению опыта и практики в части развития профессионального образования</w:t>
            </w:r>
          </w:p>
          <w:p w:rsidR="00F4774A" w:rsidRPr="00D37AFF" w:rsidRDefault="00423651" w:rsidP="009F2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AFF">
              <w:rPr>
                <w:rFonts w:ascii="Times New Roman" w:hAnsi="Times New Roman" w:cs="Times New Roman"/>
                <w:sz w:val="28"/>
                <w:szCs w:val="28"/>
              </w:rPr>
              <w:t>Антипина Ольга Феликсовна</w:t>
            </w:r>
            <w:r w:rsidR="00F4774A" w:rsidRPr="00D37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2A90" w:rsidRPr="00D37AFF" w:rsidRDefault="00F4774A" w:rsidP="009F2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AFF">
              <w:rPr>
                <w:rFonts w:ascii="Times New Roman" w:hAnsi="Times New Roman" w:cs="Times New Roman"/>
                <w:sz w:val="28"/>
                <w:szCs w:val="28"/>
              </w:rPr>
              <w:t>директор Первоуральского металлургического колледжа</w:t>
            </w:r>
          </w:p>
          <w:p w:rsidR="00423651" w:rsidRPr="00D37AFF" w:rsidRDefault="00423651" w:rsidP="009F2A90">
            <w:pPr>
              <w:pStyle w:val="a6"/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E6D" w:rsidRPr="00D37AFF" w:rsidRDefault="00CF2E6D" w:rsidP="009F2A90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AFF">
              <w:rPr>
                <w:rFonts w:ascii="Times New Roman" w:hAnsi="Times New Roman"/>
                <w:b/>
                <w:sz w:val="28"/>
                <w:szCs w:val="28"/>
              </w:rPr>
              <w:t>Комиссия по развитию потребительского рынка и сферы услуг</w:t>
            </w:r>
          </w:p>
          <w:p w:rsidR="00F4774A" w:rsidRPr="00D37AFF" w:rsidRDefault="009F2A90" w:rsidP="009F2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AFF">
              <w:rPr>
                <w:rFonts w:ascii="Times New Roman" w:hAnsi="Times New Roman" w:cs="Times New Roman"/>
                <w:sz w:val="28"/>
                <w:szCs w:val="28"/>
              </w:rPr>
              <w:t>Мякишева Наталья Михайловна</w:t>
            </w:r>
            <w:r w:rsidR="00F4774A" w:rsidRPr="00D37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2A90" w:rsidRPr="00D37AFF" w:rsidRDefault="00F4774A" w:rsidP="009F2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AFF">
              <w:rPr>
                <w:rFonts w:ascii="Times New Roman" w:hAnsi="Times New Roman" w:cs="Times New Roman"/>
                <w:sz w:val="28"/>
                <w:szCs w:val="28"/>
              </w:rPr>
              <w:t>директор Нижнетагильского</w:t>
            </w:r>
            <w:r w:rsidR="009F2A90" w:rsidRPr="00D37AFF">
              <w:rPr>
                <w:rFonts w:ascii="Times New Roman" w:hAnsi="Times New Roman" w:cs="Times New Roman"/>
                <w:sz w:val="28"/>
                <w:szCs w:val="28"/>
              </w:rPr>
              <w:t xml:space="preserve"> торгово-</w:t>
            </w:r>
            <w:r w:rsidRPr="00D37AFF">
              <w:rPr>
                <w:rFonts w:ascii="Times New Roman" w:hAnsi="Times New Roman" w:cs="Times New Roman"/>
                <w:sz w:val="28"/>
                <w:szCs w:val="28"/>
              </w:rPr>
              <w:t>экономического колледжа</w:t>
            </w:r>
          </w:p>
          <w:p w:rsidR="00CF2E6D" w:rsidRPr="00D37AFF" w:rsidRDefault="00CF2E6D" w:rsidP="009F2A90">
            <w:pPr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4477F" w:rsidRPr="00F4774A" w:rsidTr="00052CD3">
        <w:trPr>
          <w:trHeight w:val="355"/>
        </w:trPr>
        <w:tc>
          <w:tcPr>
            <w:tcW w:w="1667" w:type="dxa"/>
          </w:tcPr>
          <w:p w:rsidR="00C4477F" w:rsidRPr="00F4774A" w:rsidRDefault="009F2A90" w:rsidP="009F2A90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74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C4477F" w:rsidRPr="00F4774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4774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4477F" w:rsidRPr="00F4774A">
              <w:rPr>
                <w:rFonts w:ascii="Times New Roman" w:hAnsi="Times New Roman"/>
                <w:b/>
                <w:sz w:val="28"/>
                <w:szCs w:val="28"/>
              </w:rPr>
              <w:t>5-15.</w:t>
            </w:r>
            <w:r w:rsidRPr="00F477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37AF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C4477F" w:rsidRPr="00D37AFF" w:rsidRDefault="00C4477F" w:rsidP="009F2A90">
            <w:pPr>
              <w:spacing w:after="0" w:line="18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AFF">
              <w:rPr>
                <w:rFonts w:ascii="Times New Roman" w:hAnsi="Times New Roman"/>
                <w:sz w:val="28"/>
                <w:szCs w:val="28"/>
              </w:rPr>
              <w:t>Обсуждение</w:t>
            </w:r>
            <w:r w:rsidR="00423651" w:rsidRPr="00D37AFF">
              <w:rPr>
                <w:rFonts w:ascii="Times New Roman" w:hAnsi="Times New Roman"/>
                <w:sz w:val="28"/>
                <w:szCs w:val="28"/>
              </w:rPr>
              <w:t>, принятие решения</w:t>
            </w:r>
          </w:p>
          <w:p w:rsidR="00F4774A" w:rsidRPr="00D37AFF" w:rsidRDefault="00F4774A" w:rsidP="009F2A90">
            <w:pPr>
              <w:spacing w:after="0" w:line="18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AFF" w:rsidRPr="00F4774A" w:rsidTr="00052CD3">
        <w:trPr>
          <w:trHeight w:val="355"/>
        </w:trPr>
        <w:tc>
          <w:tcPr>
            <w:tcW w:w="1667" w:type="dxa"/>
          </w:tcPr>
          <w:p w:rsidR="00D37AFF" w:rsidRPr="00F4774A" w:rsidRDefault="00D37AFF" w:rsidP="009F2A90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D37AFF" w:rsidRPr="00D37AFF" w:rsidRDefault="00D37AFF" w:rsidP="009F2A90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7AFF">
              <w:rPr>
                <w:rFonts w:ascii="Times New Roman" w:hAnsi="Times New Roman"/>
                <w:b/>
                <w:sz w:val="28"/>
                <w:szCs w:val="28"/>
              </w:rPr>
              <w:t>Разное</w:t>
            </w:r>
          </w:p>
          <w:p w:rsidR="00D37AFF" w:rsidRPr="00D37AFF" w:rsidRDefault="00D37AFF" w:rsidP="00D37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Проект постановления Правительства Свердловской области «Об утверждении Порядка установления организациям, осуществляющим образовательную деятельность на территории Свердловской области по образовательным программам среднего профессионального образования, контрольных цифр приема на </w:t>
            </w:r>
            <w:proofErr w:type="gramStart"/>
            <w:r w:rsidRPr="00D37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по профессиям</w:t>
            </w:r>
            <w:proofErr w:type="gramEnd"/>
            <w:r w:rsidRPr="00D37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специальностям и направлениям подготовки</w:t>
            </w:r>
            <w:r w:rsidRPr="00D37AF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D37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бюджетных ассигнований областного бюджета, в том числе определения общего объема контрольных цифр приема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D37AFF" w:rsidRPr="00D37AFF" w:rsidRDefault="00D37AFF" w:rsidP="00D37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О кадровом резерве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руководителей в системе среднего профессионального образования Свердловской области.</w:t>
            </w:r>
          </w:p>
          <w:p w:rsidR="00D37AFF" w:rsidRPr="00D37AFF" w:rsidRDefault="00D37AFF" w:rsidP="009F2A90">
            <w:pPr>
              <w:spacing w:after="0" w:line="18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77F" w:rsidRPr="00F4774A" w:rsidTr="00052CD3">
        <w:trPr>
          <w:trHeight w:val="86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F" w:rsidRPr="00F4774A" w:rsidRDefault="009F2A90" w:rsidP="009F2A90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74A">
              <w:rPr>
                <w:rFonts w:ascii="Times New Roman" w:hAnsi="Times New Roman"/>
                <w:b/>
                <w:sz w:val="28"/>
                <w:szCs w:val="28"/>
              </w:rPr>
              <w:t>15.1</w:t>
            </w:r>
            <w:r w:rsidR="00D37AF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4774A">
              <w:rPr>
                <w:rFonts w:ascii="Times New Roman" w:hAnsi="Times New Roman"/>
                <w:b/>
                <w:sz w:val="28"/>
                <w:szCs w:val="28"/>
              </w:rPr>
              <w:t>-15</w:t>
            </w:r>
            <w:r w:rsidR="00C4477F" w:rsidRPr="00F4774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37AF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F" w:rsidRDefault="00C4477F" w:rsidP="009F2A90">
            <w:pPr>
              <w:spacing w:after="0" w:line="18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774A">
              <w:rPr>
                <w:rFonts w:ascii="Times New Roman" w:hAnsi="Times New Roman"/>
                <w:i/>
                <w:sz w:val="28"/>
                <w:szCs w:val="28"/>
              </w:rPr>
              <w:t>Закрытие совещания</w:t>
            </w:r>
          </w:p>
          <w:p w:rsidR="00F4774A" w:rsidRPr="00F4774A" w:rsidRDefault="00F4774A" w:rsidP="009F2A90">
            <w:pPr>
              <w:spacing w:after="0" w:line="18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774A" w:rsidRDefault="00C4477F" w:rsidP="009F2A90">
            <w:pPr>
              <w:pStyle w:val="a6"/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74A">
              <w:rPr>
                <w:rFonts w:ascii="Times New Roman" w:hAnsi="Times New Roman" w:cs="Times New Roman"/>
                <w:b/>
                <w:sz w:val="28"/>
                <w:szCs w:val="28"/>
              </w:rPr>
              <w:t>Исламгалиев</w:t>
            </w:r>
            <w:proofErr w:type="spellEnd"/>
            <w:r w:rsidRPr="00F47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Феликс </w:t>
            </w:r>
            <w:proofErr w:type="spellStart"/>
            <w:r w:rsidRPr="00F4774A">
              <w:rPr>
                <w:rFonts w:ascii="Times New Roman" w:hAnsi="Times New Roman" w:cs="Times New Roman"/>
                <w:b/>
                <w:sz w:val="28"/>
                <w:szCs w:val="28"/>
              </w:rPr>
              <w:t>Галиаскарович</w:t>
            </w:r>
            <w:proofErr w:type="spellEnd"/>
            <w:r w:rsidRPr="00F47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477F" w:rsidRPr="00F4774A" w:rsidRDefault="009F2A90" w:rsidP="009F2A90">
            <w:pPr>
              <w:pStyle w:val="a6"/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74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Консультативного совета </w:t>
            </w:r>
          </w:p>
        </w:tc>
      </w:tr>
    </w:tbl>
    <w:p w:rsidR="007C33F9" w:rsidRPr="00F4774A" w:rsidRDefault="007C33F9" w:rsidP="009F2A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33F9" w:rsidRPr="00F4774A" w:rsidSect="009930D8">
      <w:headerReference w:type="default" r:id="rId8"/>
      <w:pgSz w:w="11906" w:h="16838"/>
      <w:pgMar w:top="993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03" w:rsidRDefault="00876503">
      <w:pPr>
        <w:spacing w:after="0" w:line="240" w:lineRule="auto"/>
      </w:pPr>
      <w:r>
        <w:separator/>
      </w:r>
    </w:p>
  </w:endnote>
  <w:endnote w:type="continuationSeparator" w:id="0">
    <w:p w:rsidR="00876503" w:rsidRDefault="0087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03" w:rsidRDefault="00876503">
      <w:pPr>
        <w:spacing w:after="0" w:line="240" w:lineRule="auto"/>
      </w:pPr>
      <w:r>
        <w:separator/>
      </w:r>
    </w:p>
  </w:footnote>
  <w:footnote w:type="continuationSeparator" w:id="0">
    <w:p w:rsidR="00876503" w:rsidRDefault="0087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7204"/>
      <w:docPartObj>
        <w:docPartGallery w:val="Page Numbers (Top of Page)"/>
        <w:docPartUnique/>
      </w:docPartObj>
    </w:sdtPr>
    <w:sdtEndPr/>
    <w:sdtContent>
      <w:p w:rsidR="00DF6CF7" w:rsidRDefault="0038424F">
        <w:pPr>
          <w:pStyle w:val="a3"/>
          <w:jc w:val="center"/>
        </w:pPr>
        <w:r>
          <w:fldChar w:fldCharType="begin"/>
        </w:r>
        <w:r w:rsidR="002364AC">
          <w:instrText xml:space="preserve"> PAGE   \* MERGEFORMAT </w:instrText>
        </w:r>
        <w:r>
          <w:fldChar w:fldCharType="separate"/>
        </w:r>
        <w:r w:rsidR="001223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CF7" w:rsidRDefault="008765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0B"/>
    <w:rsid w:val="00106029"/>
    <w:rsid w:val="001223CA"/>
    <w:rsid w:val="00172E37"/>
    <w:rsid w:val="00223E3D"/>
    <w:rsid w:val="002364AC"/>
    <w:rsid w:val="00257A72"/>
    <w:rsid w:val="0028175C"/>
    <w:rsid w:val="002F56F2"/>
    <w:rsid w:val="0038424F"/>
    <w:rsid w:val="003954B6"/>
    <w:rsid w:val="003D3A6B"/>
    <w:rsid w:val="003E66B2"/>
    <w:rsid w:val="004074C3"/>
    <w:rsid w:val="00423651"/>
    <w:rsid w:val="00510EAD"/>
    <w:rsid w:val="005B26B8"/>
    <w:rsid w:val="005D49B1"/>
    <w:rsid w:val="006C49D6"/>
    <w:rsid w:val="007C33F9"/>
    <w:rsid w:val="00801BCF"/>
    <w:rsid w:val="00862749"/>
    <w:rsid w:val="00876503"/>
    <w:rsid w:val="00936E8E"/>
    <w:rsid w:val="0094655B"/>
    <w:rsid w:val="009930D8"/>
    <w:rsid w:val="009F2A90"/>
    <w:rsid w:val="009F2D80"/>
    <w:rsid w:val="009F4D6E"/>
    <w:rsid w:val="00A236A5"/>
    <w:rsid w:val="00A420BB"/>
    <w:rsid w:val="00A44CCC"/>
    <w:rsid w:val="00BD72F1"/>
    <w:rsid w:val="00C4477F"/>
    <w:rsid w:val="00CF2E6D"/>
    <w:rsid w:val="00D37AFF"/>
    <w:rsid w:val="00D5430B"/>
    <w:rsid w:val="00DA7D06"/>
    <w:rsid w:val="00DE240F"/>
    <w:rsid w:val="00F15054"/>
    <w:rsid w:val="00F4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4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4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77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D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236A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D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A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4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4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77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D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236A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D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A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2018-01-24T07:39:00Z</cp:lastPrinted>
  <dcterms:created xsi:type="dcterms:W3CDTF">2018-01-23T05:35:00Z</dcterms:created>
  <dcterms:modified xsi:type="dcterms:W3CDTF">2018-01-24T11:27:00Z</dcterms:modified>
</cp:coreProperties>
</file>